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5D" w:rsidRPr="0078195D" w:rsidRDefault="008F071F" w:rsidP="008F071F">
      <w:pPr>
        <w:rPr>
          <w:rFonts w:ascii="Century Schoolbook" w:hAnsi="Century Schoolbook"/>
          <w:i/>
          <w:color w:val="333399"/>
          <w:w w:val="120"/>
          <w:sz w:val="32"/>
          <w:szCs w:val="32"/>
        </w:rPr>
      </w:pPr>
      <w:bookmarkStart w:id="0" w:name="_GoBack"/>
      <w:bookmarkEnd w:id="0"/>
      <w:r>
        <w:rPr>
          <w:rFonts w:ascii="Century Schoolbook" w:hAnsi="Century Schoolbook"/>
          <w:i/>
          <w:color w:val="333399"/>
          <w:w w:val="120"/>
          <w:sz w:val="32"/>
          <w:szCs w:val="32"/>
        </w:rPr>
        <w:t xml:space="preserve">    </w:t>
      </w:r>
      <w:r w:rsidR="0078195D" w:rsidRPr="0078195D">
        <w:rPr>
          <w:rFonts w:ascii="Century Schoolbook" w:hAnsi="Century Schoolbook"/>
          <w:i/>
          <w:color w:val="333399"/>
          <w:w w:val="120"/>
          <w:sz w:val="32"/>
          <w:szCs w:val="32"/>
        </w:rPr>
        <w:t>PROFESSIONL INDEMNITY</w:t>
      </w:r>
      <w:r>
        <w:rPr>
          <w:rFonts w:ascii="Century Schoolbook" w:hAnsi="Century Schoolbook"/>
          <w:i/>
          <w:color w:val="333399"/>
          <w:w w:val="120"/>
          <w:sz w:val="32"/>
          <w:szCs w:val="32"/>
        </w:rPr>
        <w:t xml:space="preserve"> for ACHASM</w:t>
      </w:r>
    </w:p>
    <w:p w:rsidR="0078195D" w:rsidRDefault="0078195D" w:rsidP="0078195D">
      <w:pPr>
        <w:jc w:val="center"/>
        <w:rPr>
          <w:rFonts w:ascii="Century Schoolbook" w:hAnsi="Century Schoolbook"/>
          <w:i/>
          <w:color w:val="333399"/>
          <w:w w:val="120"/>
          <w:sz w:val="32"/>
          <w:szCs w:val="32"/>
        </w:rPr>
      </w:pPr>
    </w:p>
    <w:p w:rsidR="0078195D" w:rsidRPr="0078195D" w:rsidRDefault="0078195D" w:rsidP="0078195D">
      <w:pPr>
        <w:jc w:val="center"/>
        <w:rPr>
          <w:rFonts w:ascii="Century Schoolbook" w:hAnsi="Century Schoolbook"/>
          <w:i/>
          <w:color w:val="333399"/>
          <w:w w:val="120"/>
          <w:sz w:val="32"/>
          <w:szCs w:val="32"/>
        </w:rPr>
      </w:pPr>
      <w:r w:rsidRPr="0078195D">
        <w:rPr>
          <w:rFonts w:ascii="Century Schoolbook" w:hAnsi="Century Schoolbook"/>
          <w:i/>
          <w:color w:val="333399"/>
          <w:w w:val="120"/>
          <w:sz w:val="32"/>
          <w:szCs w:val="32"/>
        </w:rPr>
        <w:t>SUMMARY OF COVER</w:t>
      </w:r>
    </w:p>
    <w:p w:rsidR="0078195D" w:rsidRDefault="0078195D" w:rsidP="0078195D"/>
    <w:p w:rsidR="0078195D" w:rsidRDefault="0078195D" w:rsidP="0078195D"/>
    <w:p w:rsidR="0078195D" w:rsidRDefault="0078195D" w:rsidP="0078195D"/>
    <w:p w:rsidR="0078195D" w:rsidRDefault="0078195D" w:rsidP="0078195D"/>
    <w:p w:rsidR="0078195D" w:rsidRDefault="0078195D" w:rsidP="0078195D"/>
    <w:p w:rsidR="0078195D" w:rsidRDefault="0078195D" w:rsidP="0078195D">
      <w:pPr>
        <w:jc w:val="both"/>
        <w:rPr>
          <w:rFonts w:asciiTheme="majorHAnsi" w:hAnsiTheme="majorHAnsi"/>
        </w:rPr>
      </w:pPr>
    </w:p>
    <w:p w:rsidR="0078195D" w:rsidRPr="00141AD8" w:rsidRDefault="0078195D" w:rsidP="0078195D">
      <w:pPr>
        <w:jc w:val="both"/>
        <w:rPr>
          <w:rFonts w:asciiTheme="majorHAnsi" w:hAnsiTheme="majorHAnsi"/>
        </w:rPr>
      </w:pPr>
    </w:p>
    <w:p w:rsidR="0078195D" w:rsidRPr="00141AD8" w:rsidRDefault="0078195D" w:rsidP="0078195D">
      <w:pPr>
        <w:jc w:val="both"/>
        <w:rPr>
          <w:rFonts w:asciiTheme="majorHAnsi" w:hAnsiTheme="majorHAnsi"/>
        </w:rPr>
      </w:pPr>
      <w:r w:rsidRPr="00141AD8">
        <w:rPr>
          <w:rFonts w:asciiTheme="majorHAnsi" w:hAnsiTheme="majorHAnsi"/>
        </w:rPr>
        <w:t>Given the hybrid wording that we have designed and the possible confusion as to the covers provided perhaps a brief explanation of each will assist.</w:t>
      </w:r>
    </w:p>
    <w:p w:rsidR="0078195D" w:rsidRDefault="0078195D" w:rsidP="0078195D">
      <w:pPr>
        <w:shd w:val="clear" w:color="auto" w:fill="FFFFFF" w:themeFill="background1"/>
        <w:jc w:val="both"/>
        <w:rPr>
          <w:rFonts w:asciiTheme="majorHAnsi" w:hAnsiTheme="majorHAnsi"/>
        </w:rPr>
      </w:pPr>
    </w:p>
    <w:p w:rsidR="0078195D" w:rsidRDefault="0078195D" w:rsidP="0078195D">
      <w:pPr>
        <w:jc w:val="both"/>
        <w:rPr>
          <w:rFonts w:asciiTheme="majorHAnsi" w:hAnsiTheme="majorHAnsi"/>
        </w:rPr>
      </w:pPr>
    </w:p>
    <w:p w:rsidR="00D41C79" w:rsidRPr="00141AD8" w:rsidRDefault="00D41C79" w:rsidP="0078195D">
      <w:pPr>
        <w:jc w:val="both"/>
        <w:rPr>
          <w:rFonts w:asciiTheme="majorHAnsi" w:hAnsiTheme="majorHAnsi"/>
        </w:rPr>
      </w:pPr>
    </w:p>
    <w:p w:rsidR="0078195D" w:rsidRDefault="0078195D" w:rsidP="0078195D">
      <w:pPr>
        <w:jc w:val="both"/>
        <w:rPr>
          <w:rFonts w:asciiTheme="majorHAnsi" w:hAnsiTheme="majorHAnsi"/>
          <w:b/>
        </w:rPr>
      </w:pPr>
      <w:r w:rsidRPr="00797030">
        <w:rPr>
          <w:rFonts w:asciiTheme="majorHAnsi" w:hAnsiTheme="majorHAnsi"/>
          <w:b/>
        </w:rPr>
        <w:t>General public liability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8195D" w:rsidRPr="00797030" w:rsidTr="004C5CC6">
        <w:tc>
          <w:tcPr>
            <w:tcW w:w="9286" w:type="dxa"/>
          </w:tcPr>
          <w:p w:rsidR="0078195D" w:rsidRPr="00797030" w:rsidRDefault="0078195D" w:rsidP="004C5CC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8195D" w:rsidTr="004C5CC6">
        <w:tc>
          <w:tcPr>
            <w:tcW w:w="9286" w:type="dxa"/>
          </w:tcPr>
          <w:p w:rsidR="0078195D" w:rsidRDefault="0078195D" w:rsidP="004C5CC6">
            <w:pPr>
              <w:jc w:val="both"/>
              <w:rPr>
                <w:rFonts w:asciiTheme="majorHAnsi" w:hAnsiTheme="majorHAnsi"/>
                <w:b/>
              </w:rPr>
            </w:pPr>
            <w:r w:rsidRPr="00141AD8">
              <w:rPr>
                <w:rFonts w:asciiTheme="majorHAnsi" w:hAnsiTheme="majorHAnsi"/>
              </w:rPr>
              <w:t>This could arise where physical injury to persons or damage to property results from normal daily activities</w:t>
            </w:r>
            <w:r>
              <w:rPr>
                <w:rFonts w:asciiTheme="majorHAnsi" w:hAnsiTheme="majorHAnsi"/>
              </w:rPr>
              <w:t>.</w:t>
            </w:r>
            <w:r w:rsidRPr="00141AD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</w:t>
            </w:r>
            <w:r w:rsidRPr="00141AD8">
              <w:rPr>
                <w:rFonts w:asciiTheme="majorHAnsi" w:hAnsiTheme="majorHAnsi"/>
              </w:rPr>
              <w:t xml:space="preserve">or example, whilst on site the </w:t>
            </w:r>
            <w:r>
              <w:rPr>
                <w:rFonts w:asciiTheme="majorHAnsi" w:hAnsiTheme="majorHAnsi"/>
              </w:rPr>
              <w:t>Construction H</w:t>
            </w:r>
            <w:r w:rsidRPr="00141AD8">
              <w:rPr>
                <w:rFonts w:asciiTheme="majorHAnsi" w:hAnsiTheme="majorHAnsi"/>
              </w:rPr>
              <w:t xml:space="preserve">ealth and </w:t>
            </w:r>
            <w:r>
              <w:rPr>
                <w:rFonts w:asciiTheme="majorHAnsi" w:hAnsiTheme="majorHAnsi"/>
              </w:rPr>
              <w:t>S</w:t>
            </w:r>
            <w:r w:rsidRPr="00141AD8">
              <w:rPr>
                <w:rFonts w:asciiTheme="majorHAnsi" w:hAnsiTheme="majorHAnsi"/>
              </w:rPr>
              <w:t xml:space="preserve">afety </w:t>
            </w:r>
            <w:r>
              <w:rPr>
                <w:rFonts w:asciiTheme="majorHAnsi" w:hAnsiTheme="majorHAnsi"/>
              </w:rPr>
              <w:t>Officer</w:t>
            </w:r>
            <w:r w:rsidRPr="00141AD8">
              <w:rPr>
                <w:rFonts w:asciiTheme="majorHAnsi" w:hAnsiTheme="majorHAnsi"/>
              </w:rPr>
              <w:t xml:space="preserve"> knocks an item over which falls on to </w:t>
            </w:r>
            <w:r>
              <w:rPr>
                <w:rFonts w:asciiTheme="majorHAnsi" w:hAnsiTheme="majorHAnsi"/>
              </w:rPr>
              <w:t>ei</w:t>
            </w:r>
            <w:r w:rsidRPr="00141AD8">
              <w:rPr>
                <w:rFonts w:asciiTheme="majorHAnsi" w:hAnsiTheme="majorHAnsi"/>
              </w:rPr>
              <w:t>ther persons or property below.</w:t>
            </w:r>
          </w:p>
        </w:tc>
      </w:tr>
    </w:tbl>
    <w:p w:rsidR="0078195D" w:rsidRDefault="0078195D" w:rsidP="0078195D">
      <w:pPr>
        <w:jc w:val="both"/>
        <w:rPr>
          <w:rFonts w:asciiTheme="majorHAnsi" w:hAnsiTheme="majorHAnsi"/>
          <w:b/>
        </w:rPr>
      </w:pPr>
    </w:p>
    <w:p w:rsidR="0078195D" w:rsidRDefault="0078195D" w:rsidP="0078195D">
      <w:pPr>
        <w:jc w:val="both"/>
        <w:rPr>
          <w:rFonts w:asciiTheme="majorHAnsi" w:hAnsiTheme="majorHAnsi"/>
          <w:b/>
        </w:rPr>
      </w:pPr>
    </w:p>
    <w:p w:rsidR="00D41C79" w:rsidRPr="00797030" w:rsidRDefault="00D41C79" w:rsidP="0078195D">
      <w:pPr>
        <w:jc w:val="both"/>
        <w:rPr>
          <w:rFonts w:asciiTheme="majorHAnsi" w:hAnsiTheme="majorHAnsi"/>
          <w:b/>
        </w:rPr>
      </w:pPr>
    </w:p>
    <w:p w:rsidR="0078195D" w:rsidRDefault="0078195D" w:rsidP="0078195D">
      <w:pPr>
        <w:jc w:val="both"/>
        <w:rPr>
          <w:rFonts w:asciiTheme="majorHAnsi" w:hAnsiTheme="majorHAnsi"/>
          <w:b/>
        </w:rPr>
      </w:pPr>
      <w:r w:rsidRPr="00797030">
        <w:rPr>
          <w:rFonts w:asciiTheme="majorHAnsi" w:hAnsiTheme="majorHAnsi"/>
          <w:b/>
        </w:rPr>
        <w:t>Professional indemnity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8195D" w:rsidRPr="00797030" w:rsidTr="004C5CC6">
        <w:tc>
          <w:tcPr>
            <w:tcW w:w="9286" w:type="dxa"/>
          </w:tcPr>
          <w:p w:rsidR="0078195D" w:rsidRPr="00797030" w:rsidRDefault="0078195D" w:rsidP="004C5CC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8195D" w:rsidTr="004C5CC6">
        <w:tc>
          <w:tcPr>
            <w:tcW w:w="9286" w:type="dxa"/>
          </w:tcPr>
          <w:p w:rsidR="0078195D" w:rsidRDefault="0078195D" w:rsidP="004C5CC6">
            <w:pPr>
              <w:jc w:val="both"/>
              <w:rPr>
                <w:rFonts w:asciiTheme="majorHAnsi" w:hAnsiTheme="majorHAnsi"/>
                <w:b/>
              </w:rPr>
            </w:pPr>
            <w:r w:rsidRPr="00141AD8">
              <w:rPr>
                <w:rFonts w:asciiTheme="majorHAnsi" w:hAnsiTheme="majorHAnsi"/>
              </w:rPr>
              <w:t xml:space="preserve">Whilst this is very similar to </w:t>
            </w:r>
            <w:r>
              <w:rPr>
                <w:rFonts w:asciiTheme="majorHAnsi" w:hAnsiTheme="majorHAnsi"/>
              </w:rPr>
              <w:t>general public</w:t>
            </w:r>
            <w:r w:rsidRPr="00141AD8">
              <w:rPr>
                <w:rFonts w:asciiTheme="majorHAnsi" w:hAnsiTheme="majorHAnsi"/>
              </w:rPr>
              <w:t xml:space="preserve"> liability, the primary difference is that this will cover pure financial losses as opposed to any injury or damage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78195D" w:rsidRPr="00797030" w:rsidTr="004C5CC6">
        <w:tc>
          <w:tcPr>
            <w:tcW w:w="9286" w:type="dxa"/>
          </w:tcPr>
          <w:p w:rsidR="0078195D" w:rsidRPr="00797030" w:rsidRDefault="0078195D" w:rsidP="004C5CC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8195D" w:rsidTr="004C5CC6">
        <w:tc>
          <w:tcPr>
            <w:tcW w:w="9286" w:type="dxa"/>
          </w:tcPr>
          <w:p w:rsidR="0078195D" w:rsidRPr="00141AD8" w:rsidRDefault="0078195D" w:rsidP="004C5CC6">
            <w:pPr>
              <w:jc w:val="both"/>
              <w:rPr>
                <w:rFonts w:asciiTheme="majorHAnsi" w:hAnsiTheme="majorHAnsi"/>
              </w:rPr>
            </w:pPr>
            <w:r w:rsidRPr="00141AD8">
              <w:rPr>
                <w:rFonts w:asciiTheme="majorHAnsi" w:hAnsiTheme="majorHAnsi"/>
              </w:rPr>
              <w:t>Professional indemnity cover is often referred to as errors and omissions cover and, by definition, may even arise where the insured has omitted to do something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78195D" w:rsidRPr="00797030" w:rsidTr="004C5CC6">
        <w:tc>
          <w:tcPr>
            <w:tcW w:w="9286" w:type="dxa"/>
          </w:tcPr>
          <w:p w:rsidR="0078195D" w:rsidRPr="00797030" w:rsidRDefault="0078195D" w:rsidP="004C5CC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8195D" w:rsidTr="004C5CC6">
        <w:tc>
          <w:tcPr>
            <w:tcW w:w="9286" w:type="dxa"/>
          </w:tcPr>
          <w:p w:rsidR="0078195D" w:rsidRPr="00141AD8" w:rsidRDefault="0078195D" w:rsidP="004C5CC6">
            <w:pPr>
              <w:jc w:val="both"/>
              <w:rPr>
                <w:rFonts w:asciiTheme="majorHAnsi" w:hAnsiTheme="majorHAnsi"/>
              </w:rPr>
            </w:pPr>
            <w:r w:rsidRPr="00141AD8">
              <w:rPr>
                <w:rFonts w:asciiTheme="majorHAnsi" w:hAnsiTheme="majorHAnsi"/>
              </w:rPr>
              <w:t xml:space="preserve">By way of example, the </w:t>
            </w:r>
            <w:r>
              <w:rPr>
                <w:rFonts w:asciiTheme="majorHAnsi" w:hAnsiTheme="majorHAnsi"/>
              </w:rPr>
              <w:t>Construction H</w:t>
            </w:r>
            <w:r w:rsidRPr="00141AD8">
              <w:rPr>
                <w:rFonts w:asciiTheme="majorHAnsi" w:hAnsiTheme="majorHAnsi"/>
              </w:rPr>
              <w:t xml:space="preserve">ealth and </w:t>
            </w:r>
            <w:r>
              <w:rPr>
                <w:rFonts w:asciiTheme="majorHAnsi" w:hAnsiTheme="majorHAnsi"/>
              </w:rPr>
              <w:t>S</w:t>
            </w:r>
            <w:r w:rsidRPr="00141AD8">
              <w:rPr>
                <w:rFonts w:asciiTheme="majorHAnsi" w:hAnsiTheme="majorHAnsi"/>
              </w:rPr>
              <w:t>afety professional could either erroneously advise his client or omit to advise him on a matter which may c</w:t>
            </w:r>
            <w:r>
              <w:rPr>
                <w:rFonts w:asciiTheme="majorHAnsi" w:hAnsiTheme="majorHAnsi"/>
              </w:rPr>
              <w:t xml:space="preserve">ause project delay and ensuing </w:t>
            </w:r>
            <w:r w:rsidRPr="00141AD8">
              <w:rPr>
                <w:rFonts w:asciiTheme="majorHAnsi" w:hAnsiTheme="majorHAnsi"/>
              </w:rPr>
              <w:t>financial loss to the contractor despite the fact that there was no actual injury or damage.</w:t>
            </w:r>
          </w:p>
        </w:tc>
      </w:tr>
    </w:tbl>
    <w:p w:rsidR="0078195D" w:rsidRDefault="0078195D" w:rsidP="0078195D">
      <w:pPr>
        <w:jc w:val="both"/>
        <w:rPr>
          <w:rFonts w:asciiTheme="majorHAnsi" w:hAnsiTheme="majorHAnsi"/>
          <w:b/>
        </w:rPr>
      </w:pPr>
    </w:p>
    <w:p w:rsidR="0078195D" w:rsidRDefault="0078195D" w:rsidP="0078195D">
      <w:pPr>
        <w:jc w:val="both"/>
        <w:rPr>
          <w:rFonts w:asciiTheme="majorHAnsi" w:hAnsiTheme="majorHAnsi"/>
          <w:b/>
        </w:rPr>
      </w:pPr>
    </w:p>
    <w:p w:rsidR="00D41C79" w:rsidRPr="00797030" w:rsidRDefault="00D41C79" w:rsidP="0078195D">
      <w:pPr>
        <w:jc w:val="both"/>
        <w:rPr>
          <w:rFonts w:asciiTheme="majorHAnsi" w:hAnsiTheme="majorHAnsi"/>
          <w:b/>
        </w:rPr>
      </w:pPr>
    </w:p>
    <w:p w:rsidR="0078195D" w:rsidRDefault="0078195D" w:rsidP="0078195D">
      <w:pPr>
        <w:jc w:val="both"/>
        <w:rPr>
          <w:rFonts w:asciiTheme="majorHAnsi" w:hAnsiTheme="majorHAnsi"/>
          <w:b/>
        </w:rPr>
      </w:pPr>
      <w:r w:rsidRPr="00797030">
        <w:rPr>
          <w:rFonts w:asciiTheme="majorHAnsi" w:hAnsiTheme="majorHAnsi"/>
          <w:b/>
        </w:rPr>
        <w:t>Directors and Officers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8195D" w:rsidRPr="00797030" w:rsidTr="004C5CC6">
        <w:tc>
          <w:tcPr>
            <w:tcW w:w="9286" w:type="dxa"/>
          </w:tcPr>
          <w:p w:rsidR="0078195D" w:rsidRPr="00797030" w:rsidRDefault="0078195D" w:rsidP="004C5CC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8195D" w:rsidTr="004C5CC6">
        <w:tc>
          <w:tcPr>
            <w:tcW w:w="9286" w:type="dxa"/>
          </w:tcPr>
          <w:p w:rsidR="0078195D" w:rsidRDefault="0078195D" w:rsidP="004C5CC6">
            <w:pPr>
              <w:jc w:val="both"/>
              <w:rPr>
                <w:rFonts w:asciiTheme="majorHAnsi" w:hAnsiTheme="majorHAnsi"/>
                <w:b/>
              </w:rPr>
            </w:pPr>
            <w:r w:rsidRPr="00141AD8">
              <w:rPr>
                <w:rFonts w:asciiTheme="majorHAnsi" w:hAnsiTheme="majorHAnsi"/>
              </w:rPr>
              <w:t xml:space="preserve">In the event that any of the </w:t>
            </w:r>
            <w:proofErr w:type="gramStart"/>
            <w:r w:rsidRPr="00141AD8">
              <w:rPr>
                <w:rFonts w:asciiTheme="majorHAnsi" w:hAnsiTheme="majorHAnsi"/>
              </w:rPr>
              <w:t>companies</w:t>
            </w:r>
            <w:proofErr w:type="gramEnd"/>
            <w:r w:rsidRPr="00141AD8">
              <w:rPr>
                <w:rFonts w:asciiTheme="majorHAnsi" w:hAnsiTheme="majorHAnsi"/>
              </w:rPr>
              <w:t xml:space="preserve"> directors/managers/officers are sued in their personal capacity for not running the company properly then this policy would pay both the damages and legal costs. For example s</w:t>
            </w:r>
            <w:r>
              <w:rPr>
                <w:rFonts w:asciiTheme="majorHAnsi" w:hAnsiTheme="majorHAnsi"/>
              </w:rPr>
              <w:t>t</w:t>
            </w:r>
            <w:r w:rsidRPr="00141AD8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k</w:t>
            </w:r>
            <w:r w:rsidRPr="00141AD8">
              <w:rPr>
                <w:rFonts w:asciiTheme="majorHAnsi" w:hAnsiTheme="majorHAnsi"/>
              </w:rPr>
              <w:t xml:space="preserve">eholders who could hold the management liable include, inter alia, SARS for </w:t>
            </w:r>
            <w:proofErr w:type="spellStart"/>
            <w:r w:rsidRPr="00141AD8">
              <w:rPr>
                <w:rFonts w:asciiTheme="majorHAnsi" w:hAnsiTheme="majorHAnsi"/>
              </w:rPr>
              <w:t>non payment</w:t>
            </w:r>
            <w:proofErr w:type="spellEnd"/>
            <w:r w:rsidRPr="00141AD8">
              <w:rPr>
                <w:rFonts w:asciiTheme="majorHAnsi" w:hAnsiTheme="majorHAnsi"/>
              </w:rPr>
              <w:t xml:space="preserve"> of tax and employees who may lose their jobs.</w:t>
            </w:r>
          </w:p>
        </w:tc>
      </w:tr>
    </w:tbl>
    <w:p w:rsidR="0078195D" w:rsidRPr="00797030" w:rsidRDefault="0078195D" w:rsidP="0078195D">
      <w:pPr>
        <w:jc w:val="both"/>
        <w:rPr>
          <w:rFonts w:asciiTheme="majorHAnsi" w:hAnsiTheme="majorHAnsi"/>
          <w:b/>
        </w:rPr>
      </w:pPr>
    </w:p>
    <w:p w:rsidR="00D93442" w:rsidRDefault="00D93442"/>
    <w:sectPr w:rsidR="00D93442" w:rsidSect="0078195D">
      <w:pgSz w:w="11906" w:h="16838" w:code="9"/>
      <w:pgMar w:top="1418" w:right="1418" w:bottom="1134" w:left="1418" w:header="709" w:footer="709" w:gutter="0"/>
      <w:pgBorders w:offsetFrom="page">
        <w:top w:val="thinThickThinSmallGap" w:sz="18" w:space="24" w:color="FABF8F" w:themeColor="accent6" w:themeTint="99"/>
        <w:left w:val="thinThickThinSmallGap" w:sz="18" w:space="24" w:color="FABF8F" w:themeColor="accent6" w:themeTint="99"/>
        <w:bottom w:val="thinThickThinSmallGap" w:sz="18" w:space="24" w:color="FABF8F" w:themeColor="accent6" w:themeTint="99"/>
        <w:right w:val="thinThickThinSmallGap" w:sz="18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5D"/>
    <w:rsid w:val="0078195D"/>
    <w:rsid w:val="008F071F"/>
    <w:rsid w:val="00BF5077"/>
    <w:rsid w:val="00D41C79"/>
    <w:rsid w:val="00D93442"/>
    <w:rsid w:val="00D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EA68D-041B-49E2-BD5C-FE25A340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95D"/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Thomson</dc:creator>
  <cp:lastModifiedBy>ACHASM</cp:lastModifiedBy>
  <cp:revision>2</cp:revision>
  <dcterms:created xsi:type="dcterms:W3CDTF">2017-07-26T17:10:00Z</dcterms:created>
  <dcterms:modified xsi:type="dcterms:W3CDTF">2017-07-26T17:10:00Z</dcterms:modified>
</cp:coreProperties>
</file>